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4DA" w:rsidRPr="00F32574" w:rsidRDefault="00E624DA" w:rsidP="00E624DA">
      <w:pPr>
        <w:pStyle w:val="Listenabsatz"/>
        <w:widowControl/>
        <w:numPr>
          <w:ilvl w:val="0"/>
          <w:numId w:val="1"/>
        </w:numPr>
        <w:suppressAutoHyphens/>
        <w:autoSpaceDE/>
        <w:autoSpaceDN/>
        <w:rPr>
          <w:rFonts w:asciiTheme="minorHAnsi" w:eastAsia="Noto Sans CJK SC" w:hAnsiTheme="minorHAnsi" w:cstheme="minorHAnsi"/>
          <w:b/>
          <w:kern w:val="2"/>
          <w:sz w:val="36"/>
          <w:szCs w:val="32"/>
          <w:u w:val="single"/>
          <w:lang w:val="de-AT" w:eastAsia="zh-CN" w:bidi="hi-IN"/>
        </w:rPr>
      </w:pPr>
      <w:proofErr w:type="spellStart"/>
      <w:r w:rsidRPr="00F32574">
        <w:rPr>
          <w:rFonts w:asciiTheme="minorHAnsi" w:hAnsiTheme="minorHAnsi" w:cstheme="minorHAnsi"/>
          <w:b/>
          <w:color w:val="231F20"/>
          <w:w w:val="95"/>
          <w:sz w:val="36"/>
          <w:szCs w:val="32"/>
        </w:rPr>
        <w:t>Glioblastom</w:t>
      </w:r>
      <w:proofErr w:type="spellEnd"/>
      <w:r w:rsidRPr="00F32574">
        <w:rPr>
          <w:rFonts w:asciiTheme="minorHAnsi" w:hAnsiTheme="minorHAnsi" w:cstheme="minorHAnsi"/>
          <w:b/>
          <w:color w:val="231F20"/>
          <w:w w:val="95"/>
          <w:sz w:val="36"/>
          <w:szCs w:val="32"/>
        </w:rPr>
        <w:t xml:space="preserve"> und maligne Gliome:</w:t>
      </w:r>
    </w:p>
    <w:p w:rsidR="00E624DA" w:rsidRPr="001271B5" w:rsidRDefault="00E624DA" w:rsidP="00E624DA">
      <w:pPr>
        <w:pStyle w:val="Listenabsatz"/>
        <w:widowControl/>
        <w:numPr>
          <w:ilvl w:val="1"/>
          <w:numId w:val="1"/>
        </w:numPr>
        <w:suppressAutoHyphens/>
        <w:autoSpaceDE/>
        <w:autoSpaceDN/>
        <w:rPr>
          <w:rFonts w:asciiTheme="minorHAnsi" w:eastAsia="Noto Sans CJK SC" w:hAnsiTheme="minorHAnsi" w:cstheme="minorHAnsi"/>
          <w:i/>
          <w:kern w:val="2"/>
          <w:sz w:val="24"/>
          <w:szCs w:val="24"/>
          <w:u w:val="single"/>
          <w:lang w:val="de-AT" w:eastAsia="zh-CN" w:bidi="hi-IN"/>
        </w:rPr>
      </w:pPr>
      <w:r w:rsidRPr="001271B5">
        <w:rPr>
          <w:rFonts w:asciiTheme="minorHAnsi" w:hAnsiTheme="minorHAnsi" w:cstheme="minorHAnsi"/>
          <w:i/>
          <w:color w:val="231F20"/>
          <w:w w:val="95"/>
          <w:sz w:val="24"/>
        </w:rPr>
        <w:t xml:space="preserve">Verfasserin: </w:t>
      </w:r>
      <w:proofErr w:type="spellStart"/>
      <w:r w:rsidRPr="001271B5">
        <w:rPr>
          <w:rFonts w:asciiTheme="minorHAnsi" w:hAnsiTheme="minorHAnsi" w:cstheme="minorHAnsi"/>
          <w:i/>
          <w:color w:val="231F20"/>
          <w:w w:val="95"/>
          <w:sz w:val="24"/>
        </w:rPr>
        <w:t>OÄ</w:t>
      </w:r>
      <w:r w:rsidRPr="001271B5">
        <w:rPr>
          <w:rFonts w:asciiTheme="minorHAnsi" w:hAnsiTheme="minorHAnsi" w:cstheme="minorHAnsi"/>
          <w:i/>
          <w:color w:val="231F20"/>
          <w:w w:val="95"/>
          <w:sz w:val="24"/>
          <w:vertAlign w:val="superscript"/>
        </w:rPr>
        <w:t>in</w:t>
      </w:r>
      <w:proofErr w:type="spellEnd"/>
      <w:r w:rsidRPr="001271B5">
        <w:rPr>
          <w:rFonts w:asciiTheme="minorHAnsi" w:hAnsiTheme="minorHAnsi" w:cstheme="minorHAnsi"/>
          <w:i/>
          <w:color w:val="231F20"/>
          <w:w w:val="95"/>
          <w:sz w:val="24"/>
        </w:rPr>
        <w:t>. Dr</w:t>
      </w:r>
      <w:r w:rsidRPr="001271B5">
        <w:rPr>
          <w:rFonts w:asciiTheme="minorHAnsi" w:hAnsiTheme="minorHAnsi" w:cstheme="minorHAnsi"/>
          <w:i/>
          <w:color w:val="231F20"/>
          <w:w w:val="95"/>
          <w:sz w:val="24"/>
          <w:vertAlign w:val="superscript"/>
        </w:rPr>
        <w:t>in</w:t>
      </w:r>
      <w:r w:rsidRPr="001271B5">
        <w:rPr>
          <w:rFonts w:asciiTheme="minorHAnsi" w:hAnsiTheme="minorHAnsi" w:cstheme="minorHAnsi"/>
          <w:i/>
          <w:color w:val="231F20"/>
          <w:w w:val="95"/>
          <w:sz w:val="24"/>
        </w:rPr>
        <w:t>. Bernadette Calabek-Wohinz (UK-St</w:t>
      </w:r>
      <w:r w:rsidRPr="001271B5">
        <w:rPr>
          <w:rFonts w:asciiTheme="minorHAnsi" w:hAnsiTheme="minorHAnsi" w:cstheme="minorHAnsi"/>
          <w:i/>
          <w:color w:val="FF0000"/>
          <w:w w:val="95"/>
          <w:sz w:val="24"/>
        </w:rPr>
        <w:t>.</w:t>
      </w:r>
      <w:r w:rsidRPr="001271B5">
        <w:rPr>
          <w:rFonts w:asciiTheme="minorHAnsi" w:hAnsiTheme="minorHAnsi" w:cstheme="minorHAnsi"/>
          <w:i/>
          <w:color w:val="231F20"/>
          <w:w w:val="95"/>
          <w:sz w:val="24"/>
        </w:rPr>
        <w:t xml:space="preserve"> Pölten)</w:t>
      </w:r>
    </w:p>
    <w:p w:rsidR="00E624DA" w:rsidRPr="001271B5" w:rsidRDefault="00E624DA" w:rsidP="00E624DA">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E624DA" w:rsidRPr="001271B5" w:rsidRDefault="00E624DA" w:rsidP="00E624DA">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E624DA" w:rsidRPr="001271B5" w:rsidRDefault="00E624DA" w:rsidP="00E624DA">
      <w:pPr>
        <w:pStyle w:val="Listenabsatz"/>
        <w:widowControl/>
        <w:numPr>
          <w:ilvl w:val="0"/>
          <w:numId w:val="4"/>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 xml:space="preserve">Allgemeine krankheitsspezifische Informationen für die Verfassung einer </w:t>
      </w:r>
      <w:proofErr w:type="spellStart"/>
      <w:proofErr w:type="gramStart"/>
      <w:r w:rsidRPr="001271B5">
        <w:rPr>
          <w:rFonts w:asciiTheme="minorHAnsi" w:eastAsia="Noto Sans CJK SC" w:hAnsiTheme="minorHAnsi" w:cstheme="minorHAnsi"/>
          <w:b/>
          <w:kern w:val="2"/>
          <w:sz w:val="24"/>
          <w:szCs w:val="24"/>
          <w:lang w:val="de-AT" w:eastAsia="zh-CN" w:bidi="hi-IN"/>
        </w:rPr>
        <w:t>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w:t>
      </w:r>
      <w:proofErr w:type="spellEnd"/>
      <w:proofErr w:type="gramEnd"/>
      <w:r w:rsidRPr="001271B5">
        <w:rPr>
          <w:rFonts w:asciiTheme="minorHAnsi" w:eastAsia="Noto Sans CJK SC" w:hAnsiTheme="minorHAnsi" w:cstheme="minorHAnsi"/>
          <w:b/>
          <w:kern w:val="2"/>
          <w:sz w:val="24"/>
          <w:szCs w:val="24"/>
          <w:lang w:val="de-AT" w:eastAsia="zh-CN" w:bidi="hi-IN"/>
        </w:rPr>
        <w:t xml:space="preserve"> (PV) bei </w:t>
      </w:r>
      <w:proofErr w:type="spellStart"/>
      <w:r w:rsidRPr="001271B5">
        <w:rPr>
          <w:rFonts w:asciiTheme="minorHAnsi" w:eastAsia="Noto Sans CJK SC" w:hAnsiTheme="minorHAnsi" w:cstheme="minorHAnsi"/>
          <w:b/>
          <w:kern w:val="2"/>
          <w:sz w:val="24"/>
          <w:szCs w:val="24"/>
          <w:lang w:val="de-AT" w:eastAsia="zh-CN" w:bidi="hi-IN"/>
        </w:rPr>
        <w:t>Glioblastom</w:t>
      </w:r>
      <w:proofErr w:type="spellEnd"/>
      <w:r w:rsidRPr="001271B5">
        <w:rPr>
          <w:rFonts w:asciiTheme="minorHAnsi" w:eastAsia="Noto Sans CJK SC" w:hAnsiTheme="minorHAnsi" w:cstheme="minorHAnsi"/>
          <w:b/>
          <w:kern w:val="2"/>
          <w:sz w:val="24"/>
          <w:szCs w:val="24"/>
          <w:lang w:val="de-AT" w:eastAsia="zh-CN" w:bidi="hi-IN"/>
        </w:rPr>
        <w:t xml:space="preserve"> und anderen malignen Gliomen:</w:t>
      </w:r>
    </w:p>
    <w:p w:rsidR="00E624DA" w:rsidRPr="001271B5" w:rsidRDefault="00E624DA" w:rsidP="00E624DA">
      <w:pPr>
        <w:rPr>
          <w:rFonts w:asciiTheme="minorHAnsi" w:hAnsiTheme="minorHAnsi" w:cstheme="minorHAnsi"/>
          <w:b/>
          <w:sz w:val="32"/>
          <w:szCs w:val="32"/>
          <w:lang w:val="de-AT"/>
        </w:rPr>
      </w:pPr>
    </w:p>
    <w:p w:rsidR="00E624DA" w:rsidRPr="001271B5" w:rsidRDefault="00E624DA" w:rsidP="00E624DA">
      <w:pPr>
        <w:ind w:left="360"/>
        <w:rPr>
          <w:rFonts w:asciiTheme="minorHAnsi" w:hAnsiTheme="minorHAnsi" w:cstheme="minorHAnsi"/>
          <w:sz w:val="24"/>
          <w:szCs w:val="24"/>
        </w:rPr>
      </w:pPr>
      <w:r w:rsidRPr="001271B5">
        <w:rPr>
          <w:rFonts w:asciiTheme="minorHAnsi" w:hAnsiTheme="minorHAnsi" w:cstheme="minorHAnsi"/>
          <w:sz w:val="24"/>
          <w:szCs w:val="24"/>
        </w:rPr>
        <w:t xml:space="preserve">Aufgrund der, insbesondere bei malignen </w:t>
      </w:r>
      <w:proofErr w:type="spellStart"/>
      <w:r w:rsidRPr="001271B5">
        <w:rPr>
          <w:rFonts w:asciiTheme="minorHAnsi" w:hAnsiTheme="minorHAnsi" w:cstheme="minorHAnsi"/>
          <w:sz w:val="24"/>
          <w:szCs w:val="24"/>
        </w:rPr>
        <w:t>Gliom-</w:t>
      </w:r>
      <w:proofErr w:type="gramStart"/>
      <w:r w:rsidRPr="001271B5">
        <w:rPr>
          <w:rFonts w:asciiTheme="minorHAnsi" w:hAnsiTheme="minorHAnsi" w:cstheme="minorHAnsi"/>
          <w:sz w:val="24"/>
          <w:szCs w:val="24"/>
        </w:rPr>
        <w:t>Patient</w:t>
      </w:r>
      <w:r>
        <w:rPr>
          <w:rFonts w:asciiTheme="minorHAnsi" w:hAnsiTheme="minorHAnsi" w:cstheme="minorHAnsi"/>
          <w:sz w:val="24"/>
          <w:szCs w:val="24"/>
        </w:rPr>
        <w:t>:i</w:t>
      </w:r>
      <w:r w:rsidRPr="001271B5">
        <w:rPr>
          <w:rFonts w:asciiTheme="minorHAnsi" w:hAnsiTheme="minorHAnsi" w:cstheme="minorHAnsi"/>
          <w:sz w:val="24"/>
          <w:szCs w:val="24"/>
        </w:rPr>
        <w:t>nnen</w:t>
      </w:r>
      <w:proofErr w:type="spellEnd"/>
      <w:proofErr w:type="gramEnd"/>
      <w:r w:rsidRPr="001271B5">
        <w:rPr>
          <w:rFonts w:asciiTheme="minorHAnsi" w:hAnsiTheme="minorHAnsi" w:cstheme="minorHAnsi"/>
          <w:sz w:val="24"/>
          <w:szCs w:val="24"/>
        </w:rPr>
        <w:t>, begrenzten Überlebenszeit, sollte die palliative Betreuung sowie ein „</w:t>
      </w:r>
      <w:proofErr w:type="spellStart"/>
      <w:r w:rsidRPr="001271B5">
        <w:rPr>
          <w:rFonts w:asciiTheme="minorHAnsi" w:hAnsiTheme="minorHAnsi" w:cstheme="minorHAnsi"/>
          <w:sz w:val="24"/>
          <w:szCs w:val="24"/>
        </w:rPr>
        <w:t>advance</w:t>
      </w:r>
      <w:proofErr w:type="spellEnd"/>
      <w:r w:rsidRPr="001271B5">
        <w:rPr>
          <w:rFonts w:asciiTheme="minorHAnsi" w:hAnsiTheme="minorHAnsi" w:cstheme="minorHAnsi"/>
          <w:sz w:val="24"/>
          <w:szCs w:val="24"/>
        </w:rPr>
        <w:t xml:space="preserve"> care </w:t>
      </w:r>
      <w:proofErr w:type="spellStart"/>
      <w:r w:rsidRPr="001271B5">
        <w:rPr>
          <w:rFonts w:asciiTheme="minorHAnsi" w:hAnsiTheme="minorHAnsi" w:cstheme="minorHAnsi"/>
          <w:sz w:val="24"/>
          <w:szCs w:val="24"/>
        </w:rPr>
        <w:t>planning</w:t>
      </w:r>
      <w:proofErr w:type="spellEnd"/>
      <w:r w:rsidRPr="001271B5">
        <w:rPr>
          <w:rFonts w:asciiTheme="minorHAnsi" w:hAnsiTheme="minorHAnsi" w:cstheme="minorHAnsi"/>
          <w:sz w:val="24"/>
          <w:szCs w:val="24"/>
        </w:rPr>
        <w:t xml:space="preserve">“ möglichst bald eingeleitet bzw. besprochen werden. Die </w:t>
      </w: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w:t>
      </w:r>
      <w:r w:rsidRPr="001271B5">
        <w:rPr>
          <w:rFonts w:asciiTheme="minorHAnsi" w:hAnsiTheme="minorHAnsi" w:cstheme="minorHAnsi"/>
          <w:sz w:val="24"/>
          <w:szCs w:val="24"/>
        </w:rPr>
        <w:t>nnen</w:t>
      </w:r>
      <w:proofErr w:type="spellEnd"/>
      <w:proofErr w:type="gramEnd"/>
      <w:r w:rsidRPr="001271B5">
        <w:rPr>
          <w:rFonts w:asciiTheme="minorHAnsi" w:hAnsiTheme="minorHAnsi" w:cstheme="minorHAnsi"/>
          <w:sz w:val="24"/>
          <w:szCs w:val="24"/>
        </w:rPr>
        <w:t xml:space="preserve"> erhalten hierdurch die Möglichkeit, über ihre Entscheidungen in Bezug auf die Therapie, Wünsche in Bezug auf die Familie, Ängste etc. auszusprechen und darzulegen. Für die Betroffenen sowie ihre Angehörigen ist es wichtig, über die neurologischen und kognitiven Veränderungen informiert zu werden.</w:t>
      </w:r>
    </w:p>
    <w:p w:rsidR="00E624DA" w:rsidRPr="001271B5" w:rsidRDefault="00E624DA" w:rsidP="00E624DA">
      <w:pPr>
        <w:ind w:left="360"/>
        <w:rPr>
          <w:rFonts w:asciiTheme="minorHAnsi" w:hAnsiTheme="minorHAnsi" w:cstheme="minorHAnsi"/>
          <w:sz w:val="24"/>
          <w:szCs w:val="24"/>
        </w:rPr>
      </w:pPr>
    </w:p>
    <w:p w:rsidR="00E624DA" w:rsidRPr="001271B5" w:rsidRDefault="00E624DA" w:rsidP="00E624DA">
      <w:pPr>
        <w:ind w:left="360"/>
        <w:rPr>
          <w:rFonts w:asciiTheme="minorHAnsi" w:hAnsiTheme="minorHAnsi" w:cstheme="minorHAnsi"/>
          <w:sz w:val="24"/>
          <w:szCs w:val="24"/>
        </w:rPr>
      </w:pPr>
      <w:r w:rsidRPr="001271B5">
        <w:rPr>
          <w:rFonts w:asciiTheme="minorHAnsi" w:hAnsiTheme="minorHAnsi" w:cstheme="minorHAnsi"/>
          <w:sz w:val="24"/>
          <w:szCs w:val="24"/>
        </w:rPr>
        <w:t xml:space="preserve">Im Verlauf und speziell in der späteren Phase der Erkrankung, stehen verschiedene klinisch-neurologische Beschwerden im Vordergrund. Die auftretenden Beschwerden können Ausdruck des aktiven Tumorgeschehens sein oder auch durch Nebenwirkungen von Tumortherapien oder Begleitmedikamenten (gegen </w:t>
      </w:r>
      <w:r>
        <w:rPr>
          <w:rFonts w:asciiTheme="minorHAnsi" w:hAnsiTheme="minorHAnsi" w:cstheme="minorHAnsi"/>
          <w:sz w:val="24"/>
          <w:szCs w:val="24"/>
        </w:rPr>
        <w:t>epileptische Anfälle</w:t>
      </w:r>
      <w:r w:rsidRPr="001271B5">
        <w:rPr>
          <w:rFonts w:asciiTheme="minorHAnsi" w:hAnsiTheme="minorHAnsi" w:cstheme="minorHAnsi"/>
          <w:sz w:val="24"/>
          <w:szCs w:val="24"/>
        </w:rPr>
        <w:t xml:space="preserve">, Schmerzen, etc.) bedingt sein. </w:t>
      </w:r>
    </w:p>
    <w:p w:rsidR="00E624DA" w:rsidRPr="001271B5" w:rsidRDefault="00E624DA" w:rsidP="00E624DA">
      <w:pPr>
        <w:ind w:left="360"/>
        <w:rPr>
          <w:rFonts w:asciiTheme="minorHAnsi" w:hAnsiTheme="minorHAnsi" w:cstheme="minorHAnsi"/>
          <w:sz w:val="24"/>
          <w:szCs w:val="24"/>
        </w:rPr>
      </w:pPr>
      <w:r w:rsidRPr="001271B5">
        <w:rPr>
          <w:rFonts w:asciiTheme="minorHAnsi" w:hAnsiTheme="minorHAnsi" w:cstheme="minorHAnsi"/>
          <w:sz w:val="24"/>
          <w:szCs w:val="24"/>
        </w:rPr>
        <w:t>Typisch für den weiteren Verlauf der Erkrankung ist das Auftreten</w:t>
      </w:r>
      <w:r>
        <w:rPr>
          <w:rFonts w:asciiTheme="minorHAnsi" w:hAnsiTheme="minorHAnsi" w:cstheme="minorHAnsi"/>
          <w:sz w:val="24"/>
          <w:szCs w:val="24"/>
        </w:rPr>
        <w:t xml:space="preserve"> von </w:t>
      </w:r>
      <w:r w:rsidRPr="001271B5">
        <w:rPr>
          <w:rFonts w:asciiTheme="minorHAnsi" w:hAnsiTheme="minorHAnsi" w:cstheme="minorHAnsi"/>
          <w:sz w:val="24"/>
          <w:szCs w:val="24"/>
        </w:rPr>
        <w:t>Kopfschmerz</w:t>
      </w:r>
      <w:r>
        <w:rPr>
          <w:rFonts w:asciiTheme="minorHAnsi" w:hAnsiTheme="minorHAnsi" w:cstheme="minorHAnsi"/>
          <w:sz w:val="24"/>
          <w:szCs w:val="24"/>
        </w:rPr>
        <w:t>en</w:t>
      </w:r>
      <w:r w:rsidRPr="001271B5">
        <w:rPr>
          <w:rFonts w:asciiTheme="minorHAnsi" w:hAnsiTheme="minorHAnsi" w:cstheme="minorHAnsi"/>
          <w:sz w:val="24"/>
          <w:szCs w:val="24"/>
        </w:rPr>
        <w:t>, Schluckstörung, Sprachstörung, Lähmungen, eingeschränkte Mobilität</w:t>
      </w:r>
      <w:r>
        <w:rPr>
          <w:rFonts w:asciiTheme="minorHAnsi" w:hAnsiTheme="minorHAnsi" w:cstheme="minorHAnsi"/>
          <w:sz w:val="24"/>
          <w:szCs w:val="24"/>
        </w:rPr>
        <w:t xml:space="preserve">, </w:t>
      </w:r>
      <w:r w:rsidRPr="001271B5">
        <w:rPr>
          <w:rFonts w:asciiTheme="minorHAnsi" w:hAnsiTheme="minorHAnsi" w:cstheme="minorHAnsi"/>
          <w:sz w:val="24"/>
          <w:szCs w:val="24"/>
        </w:rPr>
        <w:t>epileptische</w:t>
      </w:r>
      <w:r>
        <w:rPr>
          <w:rFonts w:asciiTheme="minorHAnsi" w:hAnsiTheme="minorHAnsi" w:cstheme="minorHAnsi"/>
          <w:sz w:val="24"/>
          <w:szCs w:val="24"/>
        </w:rPr>
        <w:t>n</w:t>
      </w:r>
      <w:r w:rsidRPr="001271B5">
        <w:rPr>
          <w:rFonts w:asciiTheme="minorHAnsi" w:hAnsiTheme="minorHAnsi" w:cstheme="minorHAnsi"/>
          <w:sz w:val="24"/>
          <w:szCs w:val="24"/>
        </w:rPr>
        <w:t xml:space="preserve"> Anfälle</w:t>
      </w:r>
      <w:r>
        <w:rPr>
          <w:rFonts w:asciiTheme="minorHAnsi" w:hAnsiTheme="minorHAnsi" w:cstheme="minorHAnsi"/>
          <w:sz w:val="24"/>
          <w:szCs w:val="24"/>
        </w:rPr>
        <w:t>n</w:t>
      </w:r>
      <w:r w:rsidRPr="001271B5">
        <w:rPr>
          <w:rFonts w:asciiTheme="minorHAnsi" w:hAnsiTheme="minorHAnsi" w:cstheme="minorHAnsi"/>
          <w:sz w:val="24"/>
          <w:szCs w:val="24"/>
        </w:rPr>
        <w:t>,</w:t>
      </w:r>
      <w:r>
        <w:rPr>
          <w:rFonts w:asciiTheme="minorHAnsi" w:hAnsiTheme="minorHAnsi" w:cstheme="minorHAnsi"/>
          <w:sz w:val="24"/>
          <w:szCs w:val="24"/>
        </w:rPr>
        <w:t xml:space="preserve"> </w:t>
      </w:r>
      <w:r w:rsidRPr="001271B5">
        <w:rPr>
          <w:rFonts w:asciiTheme="minorHAnsi" w:hAnsiTheme="minorHAnsi" w:cstheme="minorHAnsi"/>
          <w:sz w:val="24"/>
          <w:szCs w:val="24"/>
        </w:rPr>
        <w:t>Erschöpfung (</w:t>
      </w:r>
      <w:proofErr w:type="spellStart"/>
      <w:r w:rsidRPr="001271B5">
        <w:rPr>
          <w:rFonts w:asciiTheme="minorHAnsi" w:hAnsiTheme="minorHAnsi" w:cstheme="minorHAnsi"/>
          <w:sz w:val="24"/>
          <w:szCs w:val="24"/>
        </w:rPr>
        <w:t>Fatigue</w:t>
      </w:r>
      <w:proofErr w:type="spellEnd"/>
      <w:r w:rsidRPr="001271B5">
        <w:rPr>
          <w:rFonts w:asciiTheme="minorHAnsi" w:hAnsiTheme="minorHAnsi" w:cstheme="minorHAnsi"/>
          <w:sz w:val="24"/>
          <w:szCs w:val="24"/>
        </w:rPr>
        <w:t>)</w:t>
      </w:r>
      <w:r>
        <w:rPr>
          <w:rFonts w:asciiTheme="minorHAnsi" w:hAnsiTheme="minorHAnsi" w:cstheme="minorHAnsi"/>
          <w:sz w:val="24"/>
          <w:szCs w:val="24"/>
        </w:rPr>
        <w:t xml:space="preserve">, </w:t>
      </w:r>
      <w:r w:rsidRPr="001271B5">
        <w:rPr>
          <w:rFonts w:asciiTheme="minorHAnsi" w:hAnsiTheme="minorHAnsi" w:cstheme="minorHAnsi"/>
          <w:sz w:val="24"/>
          <w:szCs w:val="24"/>
        </w:rPr>
        <w:t>Schläfrigkeit</w:t>
      </w:r>
      <w:r>
        <w:rPr>
          <w:rFonts w:asciiTheme="minorHAnsi" w:hAnsiTheme="minorHAnsi" w:cstheme="minorHAnsi"/>
          <w:sz w:val="24"/>
          <w:szCs w:val="24"/>
        </w:rPr>
        <w:t xml:space="preserve">, </w:t>
      </w:r>
      <w:r w:rsidRPr="001271B5">
        <w:rPr>
          <w:rFonts w:asciiTheme="minorHAnsi" w:hAnsiTheme="minorHAnsi" w:cstheme="minorHAnsi"/>
          <w:sz w:val="24"/>
          <w:szCs w:val="24"/>
        </w:rPr>
        <w:t>Verwirrtheit und</w:t>
      </w:r>
      <w:r>
        <w:rPr>
          <w:rFonts w:asciiTheme="minorHAnsi" w:hAnsiTheme="minorHAnsi" w:cstheme="minorHAnsi"/>
          <w:sz w:val="24"/>
          <w:szCs w:val="24"/>
        </w:rPr>
        <w:t xml:space="preserve"> </w:t>
      </w:r>
      <w:r w:rsidRPr="001271B5">
        <w:rPr>
          <w:rFonts w:asciiTheme="minorHAnsi" w:hAnsiTheme="minorHAnsi" w:cstheme="minorHAnsi"/>
          <w:sz w:val="24"/>
          <w:szCs w:val="24"/>
        </w:rPr>
        <w:t>eingesc</w:t>
      </w:r>
      <w:r>
        <w:rPr>
          <w:rFonts w:asciiTheme="minorHAnsi" w:hAnsiTheme="minorHAnsi" w:cstheme="minorHAnsi"/>
          <w:sz w:val="24"/>
          <w:szCs w:val="24"/>
        </w:rPr>
        <w:t>hränkte Entscheidungsfähigkeit</w:t>
      </w:r>
      <w:r w:rsidRPr="001271B5">
        <w:rPr>
          <w:rFonts w:asciiTheme="minorHAnsi" w:hAnsiTheme="minorHAnsi" w:cstheme="minorHAnsi"/>
          <w:sz w:val="24"/>
          <w:szCs w:val="24"/>
        </w:rPr>
        <w:t>. Diese Symptome können in verschiedenen Krankheitsphasen auftreten, nehmen jedoch tendenziell im späteren Verlauf der Erkrankung zu.</w:t>
      </w:r>
    </w:p>
    <w:p w:rsidR="00E624DA" w:rsidRPr="001271B5" w:rsidRDefault="00E624DA" w:rsidP="00E624DA">
      <w:pPr>
        <w:ind w:left="360"/>
        <w:rPr>
          <w:rFonts w:asciiTheme="minorHAnsi" w:hAnsiTheme="minorHAnsi" w:cstheme="minorHAnsi"/>
          <w:sz w:val="24"/>
          <w:szCs w:val="24"/>
        </w:rPr>
      </w:pPr>
    </w:p>
    <w:p w:rsidR="00E624DA" w:rsidRPr="001271B5" w:rsidRDefault="00E624DA" w:rsidP="00E624DA">
      <w:pPr>
        <w:ind w:left="360"/>
        <w:rPr>
          <w:rFonts w:asciiTheme="minorHAnsi" w:hAnsiTheme="minorHAnsi" w:cstheme="minorHAnsi"/>
          <w:sz w:val="24"/>
          <w:szCs w:val="24"/>
        </w:rPr>
      </w:pPr>
      <w:r w:rsidRPr="001271B5">
        <w:rPr>
          <w:rFonts w:asciiTheme="minorHAnsi" w:hAnsiTheme="minorHAnsi" w:cstheme="minorHAnsi"/>
          <w:sz w:val="24"/>
          <w:szCs w:val="24"/>
        </w:rPr>
        <w:t xml:space="preserve">Eine </w:t>
      </w: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:inn</w:t>
      </w:r>
      <w:r w:rsidRPr="001271B5">
        <w:rPr>
          <w:rFonts w:asciiTheme="minorHAnsi" w:hAnsiTheme="minorHAnsi" w:cstheme="minorHAnsi"/>
          <w:sz w:val="24"/>
          <w:szCs w:val="24"/>
        </w:rPr>
        <w:t>enverfügung</w:t>
      </w:r>
      <w:proofErr w:type="spellEnd"/>
      <w:proofErr w:type="gramEnd"/>
      <w:r w:rsidRPr="001271B5">
        <w:rPr>
          <w:rFonts w:asciiTheme="minorHAnsi" w:hAnsiTheme="minorHAnsi" w:cstheme="minorHAnsi"/>
          <w:sz w:val="24"/>
          <w:szCs w:val="24"/>
        </w:rPr>
        <w:t xml:space="preserve"> gilt nur, wenn die Entscheidungsfähigkeit der Betroffenen nicht mehr gegeben ist. Dies kann durch eine Sprachstörung</w:t>
      </w:r>
      <w:r>
        <w:rPr>
          <w:rFonts w:asciiTheme="minorHAnsi" w:hAnsiTheme="minorHAnsi" w:cstheme="minorHAnsi"/>
          <w:sz w:val="24"/>
          <w:szCs w:val="24"/>
        </w:rPr>
        <w:t xml:space="preserve">, </w:t>
      </w:r>
      <w:r w:rsidRPr="001271B5">
        <w:rPr>
          <w:rFonts w:asciiTheme="minorHAnsi" w:hAnsiTheme="minorHAnsi" w:cstheme="minorHAnsi"/>
          <w:sz w:val="24"/>
          <w:szCs w:val="24"/>
        </w:rPr>
        <w:t>zunehmende kognitive Einschränkung</w:t>
      </w:r>
      <w:r>
        <w:rPr>
          <w:rFonts w:asciiTheme="minorHAnsi" w:hAnsiTheme="minorHAnsi" w:cstheme="minorHAnsi"/>
          <w:sz w:val="24"/>
          <w:szCs w:val="24"/>
        </w:rPr>
        <w:t xml:space="preserve"> oder </w:t>
      </w:r>
      <w:proofErr w:type="spellStart"/>
      <w:r w:rsidRPr="001271B5">
        <w:rPr>
          <w:rFonts w:asciiTheme="minorHAnsi" w:hAnsiTheme="minorHAnsi" w:cstheme="minorHAnsi"/>
          <w:sz w:val="24"/>
          <w:szCs w:val="24"/>
        </w:rPr>
        <w:t>Vigilanzminderung</w:t>
      </w:r>
      <w:proofErr w:type="spellEnd"/>
      <w:r w:rsidRPr="001271B5">
        <w:rPr>
          <w:rFonts w:asciiTheme="minorHAnsi" w:hAnsiTheme="minorHAnsi" w:cstheme="minorHAnsi"/>
          <w:sz w:val="24"/>
          <w:szCs w:val="24"/>
        </w:rPr>
        <w:t xml:space="preserve"> gegeben sein.</w:t>
      </w:r>
    </w:p>
    <w:p w:rsidR="00E624DA" w:rsidRPr="001271B5" w:rsidRDefault="00E624DA" w:rsidP="00E624DA">
      <w:pPr>
        <w:ind w:left="360"/>
        <w:rPr>
          <w:rFonts w:asciiTheme="minorHAnsi" w:hAnsiTheme="minorHAnsi" w:cstheme="minorHAnsi"/>
          <w:sz w:val="24"/>
          <w:szCs w:val="24"/>
        </w:rPr>
      </w:pPr>
    </w:p>
    <w:p w:rsidR="00E624DA" w:rsidRPr="001271B5" w:rsidRDefault="00E624DA" w:rsidP="00E624DA">
      <w:pPr>
        <w:ind w:left="360"/>
        <w:rPr>
          <w:rFonts w:asciiTheme="minorHAnsi" w:hAnsiTheme="minorHAnsi" w:cstheme="minorHAnsi"/>
          <w:sz w:val="24"/>
          <w:szCs w:val="24"/>
        </w:rPr>
      </w:pPr>
      <w:r w:rsidRPr="001271B5">
        <w:rPr>
          <w:rFonts w:asciiTheme="minorHAnsi" w:hAnsiTheme="minorHAnsi" w:cstheme="minorHAnsi"/>
          <w:b/>
          <w:sz w:val="24"/>
          <w:szCs w:val="24"/>
        </w:rPr>
        <w:t xml:space="preserve">Berücksichtigung der </w:t>
      </w:r>
      <w:proofErr w:type="spellStart"/>
      <w:r w:rsidRPr="001271B5">
        <w:rPr>
          <w:rFonts w:asciiTheme="minorHAnsi" w:hAnsiTheme="minorHAnsi" w:cstheme="minorHAnsi"/>
          <w:b/>
          <w:sz w:val="24"/>
          <w:szCs w:val="24"/>
        </w:rPr>
        <w:t>supportiven</w:t>
      </w:r>
      <w:proofErr w:type="spellEnd"/>
      <w:r w:rsidRPr="001271B5">
        <w:rPr>
          <w:rFonts w:asciiTheme="minorHAnsi" w:hAnsiTheme="minorHAnsi" w:cstheme="minorHAnsi"/>
          <w:b/>
          <w:sz w:val="24"/>
          <w:szCs w:val="24"/>
        </w:rPr>
        <w:t xml:space="preserve"> Aspekte bei Hirntumor </w:t>
      </w:r>
      <w:proofErr w:type="spellStart"/>
      <w:proofErr w:type="gramStart"/>
      <w:r w:rsidRPr="001271B5">
        <w:rPr>
          <w:rFonts w:asciiTheme="minorHAnsi" w:hAnsiTheme="minorHAnsi" w:cstheme="minorHAnsi"/>
          <w:b/>
          <w:sz w:val="24"/>
          <w:szCs w:val="24"/>
        </w:rPr>
        <w:t>Patient</w:t>
      </w:r>
      <w:r>
        <w:rPr>
          <w:rFonts w:asciiTheme="minorHAnsi" w:hAnsiTheme="minorHAnsi" w:cstheme="minorHAnsi"/>
          <w:b/>
          <w:sz w:val="24"/>
          <w:szCs w:val="24"/>
        </w:rPr>
        <w:t>:</w:t>
      </w:r>
      <w:r w:rsidRPr="001271B5">
        <w:rPr>
          <w:rFonts w:asciiTheme="minorHAnsi" w:hAnsiTheme="minorHAnsi" w:cstheme="minorHAnsi"/>
          <w:b/>
          <w:sz w:val="24"/>
          <w:szCs w:val="24"/>
        </w:rPr>
        <w:t>innen</w:t>
      </w:r>
      <w:proofErr w:type="spellEnd"/>
      <w:proofErr w:type="gramEnd"/>
      <w:r w:rsidRPr="001271B5">
        <w:rPr>
          <w:rFonts w:asciiTheme="minorHAnsi" w:hAnsiTheme="minorHAnsi" w:cstheme="minorHAnsi"/>
          <w:b/>
          <w:sz w:val="24"/>
          <w:szCs w:val="24"/>
        </w:rPr>
        <w:t xml:space="preserve">: </w:t>
      </w:r>
      <w:r w:rsidRPr="001271B5">
        <w:rPr>
          <w:rFonts w:asciiTheme="minorHAnsi" w:hAnsiTheme="minorHAnsi" w:cstheme="minorHAnsi"/>
          <w:sz w:val="24"/>
          <w:szCs w:val="24"/>
        </w:rPr>
        <w:t xml:space="preserve">als Leitfaden zur Gesprächsführung mit neuroonkologischen </w:t>
      </w:r>
      <w:proofErr w:type="spellStart"/>
      <w:r w:rsidRPr="001271B5">
        <w:rPr>
          <w:rFonts w:asciiTheme="minorHAnsi" w:hAnsiTheme="minorHAnsi" w:cstheme="minorHAnsi"/>
          <w:sz w:val="24"/>
          <w:szCs w:val="24"/>
        </w:rPr>
        <w:t>Palliativpatient</w:t>
      </w:r>
      <w:r>
        <w:rPr>
          <w:rFonts w:asciiTheme="minorHAnsi" w:hAnsiTheme="minorHAnsi" w:cstheme="minorHAnsi"/>
          <w:sz w:val="24"/>
          <w:szCs w:val="24"/>
        </w:rPr>
        <w:t>:inn</w:t>
      </w:r>
      <w:r w:rsidRPr="001271B5">
        <w:rPr>
          <w:rFonts w:asciiTheme="minorHAnsi" w:hAnsiTheme="minorHAnsi" w:cstheme="minorHAnsi"/>
          <w:sz w:val="24"/>
          <w:szCs w:val="24"/>
        </w:rPr>
        <w:t>en</w:t>
      </w:r>
      <w:proofErr w:type="spellEnd"/>
      <w:r w:rsidRPr="001271B5">
        <w:rPr>
          <w:rFonts w:asciiTheme="minorHAnsi" w:hAnsiTheme="minorHAnsi" w:cstheme="minorHAnsi"/>
          <w:sz w:val="24"/>
          <w:szCs w:val="24"/>
        </w:rPr>
        <w:t xml:space="preserve"> und deren Angehörigen.</w:t>
      </w:r>
    </w:p>
    <w:p w:rsidR="00E624DA" w:rsidRPr="001271B5" w:rsidRDefault="00E624DA" w:rsidP="00E624DA">
      <w:pPr>
        <w:ind w:left="360"/>
        <w:rPr>
          <w:rFonts w:asciiTheme="minorHAnsi" w:hAnsiTheme="minorHAnsi" w:cstheme="minorHAnsi"/>
          <w:sz w:val="24"/>
          <w:szCs w:val="24"/>
        </w:rPr>
      </w:pPr>
    </w:p>
    <w:p w:rsidR="00E624DA" w:rsidRPr="001271B5" w:rsidRDefault="00E624DA" w:rsidP="00E624DA">
      <w:pPr>
        <w:pStyle w:val="Listenabsatz"/>
        <w:widowControl/>
        <w:numPr>
          <w:ilvl w:val="0"/>
          <w:numId w:val="2"/>
        </w:numPr>
        <w:autoSpaceDE/>
        <w:autoSpaceDN/>
        <w:rPr>
          <w:rFonts w:asciiTheme="minorHAnsi" w:hAnsiTheme="minorHAnsi" w:cstheme="minorHAnsi"/>
          <w:i/>
          <w:sz w:val="24"/>
          <w:szCs w:val="24"/>
        </w:rPr>
      </w:pPr>
      <w:r w:rsidRPr="001271B5">
        <w:rPr>
          <w:rFonts w:asciiTheme="minorHAnsi" w:hAnsiTheme="minorHAnsi" w:cstheme="minorHAnsi"/>
          <w:i/>
          <w:sz w:val="24"/>
          <w:szCs w:val="24"/>
        </w:rPr>
        <w:t>Bei epileptischen Anfällen sollen entsprechende antikonvulsive Medikamente verabreicht werden, welche bei Schluckstörung auch intravenös, unter die Haut, über die Wangenschleimhaut oder als Zäpfchen gegeben werden können.</w:t>
      </w:r>
    </w:p>
    <w:p w:rsidR="00E624DA" w:rsidRPr="001271B5" w:rsidRDefault="00E624DA" w:rsidP="00E624DA">
      <w:pPr>
        <w:rPr>
          <w:rFonts w:asciiTheme="minorHAnsi" w:hAnsiTheme="minorHAnsi" w:cstheme="minorHAnsi"/>
          <w:i/>
          <w:sz w:val="24"/>
          <w:szCs w:val="24"/>
        </w:rPr>
      </w:pPr>
    </w:p>
    <w:p w:rsidR="00E624DA" w:rsidRPr="001271B5" w:rsidRDefault="00E624DA" w:rsidP="00E624DA">
      <w:pPr>
        <w:pStyle w:val="Listenabsatz"/>
        <w:widowControl/>
        <w:numPr>
          <w:ilvl w:val="0"/>
          <w:numId w:val="3"/>
        </w:numPr>
        <w:autoSpaceDE/>
        <w:autoSpaceDN/>
        <w:rPr>
          <w:rFonts w:asciiTheme="minorHAnsi" w:hAnsiTheme="minorHAnsi" w:cstheme="minorHAnsi"/>
          <w:i/>
          <w:sz w:val="24"/>
          <w:szCs w:val="24"/>
        </w:rPr>
      </w:pPr>
      <w:r w:rsidRPr="001271B5">
        <w:rPr>
          <w:rFonts w:asciiTheme="minorHAnsi" w:hAnsiTheme="minorHAnsi" w:cstheme="minorHAnsi"/>
          <w:i/>
          <w:sz w:val="24"/>
          <w:szCs w:val="24"/>
        </w:rPr>
        <w:t>Bei Schmerzen, typischerweise Kopfschmerzen, können einerseits schmerzhemmende Medikamente (Analgetika) als auch Medikamente zur Verringerung der Hirnschwellung (Hirnödem) eingesetzt werden (</w:t>
      </w:r>
      <w:proofErr w:type="spellStart"/>
      <w:r w:rsidRPr="001271B5">
        <w:rPr>
          <w:rFonts w:asciiTheme="minorHAnsi" w:hAnsiTheme="minorHAnsi" w:cstheme="minorHAnsi"/>
          <w:i/>
          <w:sz w:val="24"/>
          <w:szCs w:val="24"/>
        </w:rPr>
        <w:t>Dexamethason</w:t>
      </w:r>
      <w:proofErr w:type="spellEnd"/>
      <w:r w:rsidRPr="001271B5">
        <w:rPr>
          <w:rFonts w:asciiTheme="minorHAnsi" w:hAnsiTheme="minorHAnsi" w:cstheme="minorHAnsi"/>
          <w:i/>
          <w:sz w:val="24"/>
          <w:szCs w:val="24"/>
        </w:rPr>
        <w:t>). Es soll dabei auch klargestellt werden, ab welchem Zeitpunkt eine weitere antiödematöse Therapie nicht mehr indiziert ist – und warum.</w:t>
      </w:r>
    </w:p>
    <w:p w:rsidR="00E624DA" w:rsidRPr="001271B5" w:rsidRDefault="00E624DA" w:rsidP="00E624DA">
      <w:pPr>
        <w:pStyle w:val="Listenabsatz"/>
        <w:widowControl/>
        <w:autoSpaceDE/>
        <w:autoSpaceDN/>
        <w:rPr>
          <w:rFonts w:asciiTheme="minorHAnsi" w:hAnsiTheme="minorHAnsi" w:cstheme="minorHAnsi"/>
          <w:i/>
          <w:sz w:val="24"/>
          <w:szCs w:val="24"/>
        </w:rPr>
      </w:pPr>
    </w:p>
    <w:p w:rsidR="00E624DA" w:rsidRPr="001271B5" w:rsidRDefault="00E624DA" w:rsidP="00E624DA">
      <w:pPr>
        <w:pStyle w:val="Listenabsatz"/>
        <w:widowControl/>
        <w:numPr>
          <w:ilvl w:val="0"/>
          <w:numId w:val="3"/>
        </w:numPr>
        <w:autoSpaceDE/>
        <w:autoSpaceDN/>
        <w:rPr>
          <w:rFonts w:asciiTheme="minorHAnsi" w:hAnsiTheme="minorHAnsi" w:cstheme="minorHAnsi"/>
          <w:i/>
          <w:sz w:val="24"/>
          <w:szCs w:val="24"/>
        </w:rPr>
      </w:pPr>
      <w:r w:rsidRPr="001271B5">
        <w:rPr>
          <w:rFonts w:asciiTheme="minorHAnsi" w:hAnsiTheme="minorHAnsi" w:cstheme="minorHAnsi"/>
          <w:i/>
          <w:sz w:val="24"/>
          <w:szCs w:val="24"/>
        </w:rPr>
        <w:t xml:space="preserve">Auch bei den bei Hirntumor </w:t>
      </w:r>
      <w:proofErr w:type="spellStart"/>
      <w:proofErr w:type="gramStart"/>
      <w:r w:rsidRPr="001271B5">
        <w:rPr>
          <w:rFonts w:asciiTheme="minorHAnsi" w:hAnsiTheme="minorHAnsi" w:cstheme="minorHAnsi"/>
          <w:i/>
          <w:sz w:val="24"/>
          <w:szCs w:val="24"/>
        </w:rPr>
        <w:t>Patient</w:t>
      </w:r>
      <w:r>
        <w:rPr>
          <w:rFonts w:asciiTheme="minorHAnsi" w:hAnsiTheme="minorHAnsi" w:cstheme="minorHAnsi"/>
          <w:i/>
          <w:sz w:val="24"/>
          <w:szCs w:val="24"/>
        </w:rPr>
        <w:t>:</w:t>
      </w:r>
      <w:r w:rsidRPr="001271B5">
        <w:rPr>
          <w:rFonts w:asciiTheme="minorHAnsi" w:hAnsiTheme="minorHAnsi" w:cstheme="minorHAnsi"/>
          <w:i/>
          <w:sz w:val="24"/>
          <w:szCs w:val="24"/>
        </w:rPr>
        <w:t>innen</w:t>
      </w:r>
      <w:proofErr w:type="spellEnd"/>
      <w:proofErr w:type="gramEnd"/>
      <w:r w:rsidRPr="001271B5">
        <w:rPr>
          <w:rFonts w:asciiTheme="minorHAnsi" w:hAnsiTheme="minorHAnsi" w:cstheme="minorHAnsi"/>
          <w:i/>
          <w:sz w:val="24"/>
          <w:szCs w:val="24"/>
        </w:rPr>
        <w:t xml:space="preserve"> häufig auftretenden venösen Thrombosegeschehen kann eine Therapie mit z.B. Heparin erfolgen und passives Mobilisieren als Prophylaxe dienen.</w:t>
      </w:r>
    </w:p>
    <w:p w:rsidR="00E624DA" w:rsidRPr="001271B5" w:rsidRDefault="00E624DA" w:rsidP="00E624DA">
      <w:pPr>
        <w:pStyle w:val="Listenabsatz"/>
        <w:widowControl/>
        <w:numPr>
          <w:ilvl w:val="0"/>
          <w:numId w:val="3"/>
        </w:numPr>
        <w:autoSpaceDE/>
        <w:autoSpaceDN/>
        <w:rPr>
          <w:rFonts w:asciiTheme="minorHAnsi" w:hAnsiTheme="minorHAnsi" w:cstheme="minorHAnsi"/>
          <w:i/>
          <w:sz w:val="24"/>
          <w:szCs w:val="24"/>
        </w:rPr>
      </w:pPr>
      <w:r w:rsidRPr="001271B5">
        <w:rPr>
          <w:rFonts w:asciiTheme="minorHAnsi" w:hAnsiTheme="minorHAnsi" w:cstheme="minorHAnsi"/>
          <w:i/>
          <w:sz w:val="24"/>
          <w:szCs w:val="24"/>
        </w:rPr>
        <w:lastRenderedPageBreak/>
        <w:t xml:space="preserve">Ein- und Durchschlafstörungen, Depressionen- Ängste, Unruhe oder Gedankenkreisen können durch eine Medikation mit Schlafmittel oder Antidepressiva </w:t>
      </w:r>
      <w:r>
        <w:rPr>
          <w:rFonts w:asciiTheme="minorHAnsi" w:hAnsiTheme="minorHAnsi" w:cstheme="minorHAnsi"/>
          <w:i/>
          <w:sz w:val="24"/>
          <w:szCs w:val="24"/>
        </w:rPr>
        <w:t xml:space="preserve">oder </w:t>
      </w:r>
      <w:r w:rsidRPr="001271B5">
        <w:rPr>
          <w:rFonts w:asciiTheme="minorHAnsi" w:hAnsiTheme="minorHAnsi" w:cstheme="minorHAnsi"/>
          <w:i/>
          <w:sz w:val="24"/>
          <w:szCs w:val="24"/>
        </w:rPr>
        <w:t>Neuroleptika, mit psychologischer Betreuung und Schlafhygiene gebessert werden.</w:t>
      </w:r>
    </w:p>
    <w:p w:rsidR="00E624DA" w:rsidRPr="001271B5" w:rsidRDefault="00E624DA" w:rsidP="00E624DA">
      <w:pPr>
        <w:rPr>
          <w:rFonts w:asciiTheme="minorHAnsi" w:hAnsiTheme="minorHAnsi" w:cstheme="minorHAnsi"/>
          <w:i/>
          <w:sz w:val="24"/>
          <w:szCs w:val="24"/>
        </w:rPr>
      </w:pPr>
    </w:p>
    <w:p w:rsidR="00E624DA" w:rsidRPr="001271B5" w:rsidRDefault="00E624DA" w:rsidP="00E624DA">
      <w:pPr>
        <w:pStyle w:val="Listenabsatz"/>
        <w:widowControl/>
        <w:numPr>
          <w:ilvl w:val="0"/>
          <w:numId w:val="3"/>
        </w:numPr>
        <w:autoSpaceDE/>
        <w:autoSpaceDN/>
        <w:rPr>
          <w:rFonts w:asciiTheme="minorHAnsi" w:hAnsiTheme="minorHAnsi" w:cstheme="minorHAnsi"/>
          <w:i/>
          <w:sz w:val="24"/>
          <w:szCs w:val="24"/>
        </w:rPr>
      </w:pPr>
      <w:r w:rsidRPr="001271B5">
        <w:rPr>
          <w:rFonts w:asciiTheme="minorHAnsi" w:hAnsiTheme="minorHAnsi" w:cstheme="minorHAnsi"/>
          <w:i/>
          <w:sz w:val="24"/>
          <w:szCs w:val="24"/>
        </w:rPr>
        <w:t>Das häufig in der fortgeschrittenen Phase der Erkrankung auftretende Delir, kann durch eine palliative Begleitung und medikamentöse Intervention bzw. Umstellung gelindert werden.</w:t>
      </w:r>
    </w:p>
    <w:p w:rsidR="00E624DA" w:rsidRPr="001271B5" w:rsidRDefault="00E624DA" w:rsidP="00E624DA">
      <w:pPr>
        <w:rPr>
          <w:rFonts w:asciiTheme="minorHAnsi" w:hAnsiTheme="minorHAnsi" w:cstheme="minorHAnsi"/>
          <w:i/>
          <w:sz w:val="24"/>
          <w:szCs w:val="24"/>
        </w:rPr>
      </w:pPr>
    </w:p>
    <w:p w:rsidR="00E624DA" w:rsidRPr="001271B5" w:rsidRDefault="00E624DA" w:rsidP="00E624DA">
      <w:pPr>
        <w:pStyle w:val="Listenabsatz"/>
        <w:widowControl/>
        <w:numPr>
          <w:ilvl w:val="0"/>
          <w:numId w:val="3"/>
        </w:numPr>
        <w:autoSpaceDE/>
        <w:autoSpaceDN/>
        <w:rPr>
          <w:rFonts w:asciiTheme="minorHAnsi" w:hAnsiTheme="minorHAnsi" w:cstheme="minorHAnsi"/>
          <w:i/>
          <w:sz w:val="24"/>
          <w:szCs w:val="24"/>
        </w:rPr>
      </w:pPr>
      <w:r w:rsidRPr="001271B5">
        <w:rPr>
          <w:rFonts w:asciiTheme="minorHAnsi" w:hAnsiTheme="minorHAnsi" w:cstheme="minorHAnsi"/>
          <w:i/>
          <w:sz w:val="24"/>
          <w:szCs w:val="24"/>
        </w:rPr>
        <w:t xml:space="preserve">Treten Schluckstörung im fortgeschrittenen Stadium der Erkrankung auf, wird üblicherweise auf eine „künstliche“ oder parenterale Nahrungszufuhr verzichtet. Auch die Zufuhr von Flüssigkeit kann nach Bedarf reduziert oder beendet werden. Symptomlindernde Medikamente sollten jedenfalls auch in der fortgeschrittenen Phase der Erkrankung weiter intravenös, subkutan, oder </w:t>
      </w:r>
      <w:proofErr w:type="spellStart"/>
      <w:r w:rsidRPr="001271B5">
        <w:rPr>
          <w:rFonts w:asciiTheme="minorHAnsi" w:hAnsiTheme="minorHAnsi" w:cstheme="minorHAnsi"/>
          <w:i/>
          <w:sz w:val="24"/>
          <w:szCs w:val="24"/>
        </w:rPr>
        <w:t>buccal</w:t>
      </w:r>
      <w:proofErr w:type="spellEnd"/>
      <w:r w:rsidRPr="001271B5">
        <w:rPr>
          <w:rFonts w:asciiTheme="minorHAnsi" w:hAnsiTheme="minorHAnsi" w:cstheme="minorHAnsi"/>
          <w:i/>
          <w:sz w:val="24"/>
          <w:szCs w:val="24"/>
        </w:rPr>
        <w:t xml:space="preserve"> verabreicht werden.</w:t>
      </w:r>
    </w:p>
    <w:p w:rsidR="00E624DA" w:rsidRPr="001271B5" w:rsidRDefault="00E624DA" w:rsidP="00E624DA">
      <w:pPr>
        <w:rPr>
          <w:rFonts w:asciiTheme="minorHAnsi" w:hAnsiTheme="minorHAnsi" w:cstheme="minorHAnsi"/>
          <w:i/>
          <w:sz w:val="24"/>
          <w:szCs w:val="24"/>
        </w:rPr>
      </w:pPr>
    </w:p>
    <w:p w:rsidR="00E624DA" w:rsidRPr="001271B5" w:rsidRDefault="00E624DA" w:rsidP="00E624DA">
      <w:pPr>
        <w:pStyle w:val="Listenabsatz"/>
        <w:widowControl/>
        <w:numPr>
          <w:ilvl w:val="0"/>
          <w:numId w:val="3"/>
        </w:numPr>
        <w:autoSpaceDE/>
        <w:autoSpaceDN/>
        <w:rPr>
          <w:rFonts w:asciiTheme="minorHAnsi" w:hAnsiTheme="minorHAnsi" w:cstheme="minorHAnsi"/>
          <w:i/>
          <w:sz w:val="24"/>
          <w:szCs w:val="24"/>
        </w:rPr>
      </w:pPr>
      <w:r w:rsidRPr="001271B5">
        <w:rPr>
          <w:rFonts w:asciiTheme="minorHAnsi" w:hAnsiTheme="minorHAnsi" w:cstheme="minorHAnsi"/>
          <w:i/>
          <w:sz w:val="24"/>
          <w:szCs w:val="24"/>
        </w:rPr>
        <w:t xml:space="preserve">Auch der Wunsch nach </w:t>
      </w:r>
      <w:r>
        <w:rPr>
          <w:rFonts w:asciiTheme="minorHAnsi" w:hAnsiTheme="minorHAnsi" w:cstheme="minorHAnsi"/>
          <w:i/>
          <w:sz w:val="24"/>
          <w:szCs w:val="24"/>
        </w:rPr>
        <w:t>spiritueller Unterstützung</w:t>
      </w:r>
      <w:r w:rsidRPr="001271B5">
        <w:rPr>
          <w:rFonts w:asciiTheme="minorHAnsi" w:hAnsiTheme="minorHAnsi" w:cstheme="minorHAnsi"/>
          <w:i/>
          <w:sz w:val="24"/>
          <w:szCs w:val="24"/>
        </w:rPr>
        <w:t xml:space="preserve"> oder die Festlegung einer Versorgung z.B. im Hospiz</w:t>
      </w:r>
      <w:r>
        <w:rPr>
          <w:rFonts w:asciiTheme="minorHAnsi" w:hAnsiTheme="minorHAnsi" w:cstheme="minorHAnsi"/>
          <w:i/>
          <w:sz w:val="24"/>
          <w:szCs w:val="24"/>
        </w:rPr>
        <w:t xml:space="preserve"> oder durch ein mobiles Hospizteam</w:t>
      </w:r>
      <w:r w:rsidRPr="001271B5">
        <w:rPr>
          <w:rFonts w:asciiTheme="minorHAnsi" w:hAnsiTheme="minorHAnsi" w:cstheme="minorHAnsi"/>
          <w:i/>
          <w:sz w:val="24"/>
          <w:szCs w:val="24"/>
        </w:rPr>
        <w:t xml:space="preserve"> kann in diesem Rahmen festgehalten werden.</w:t>
      </w:r>
    </w:p>
    <w:p w:rsidR="00E624DA" w:rsidRPr="001271B5" w:rsidRDefault="00E624DA" w:rsidP="00E624DA">
      <w:pPr>
        <w:rPr>
          <w:rFonts w:asciiTheme="minorHAnsi" w:hAnsiTheme="minorHAnsi" w:cstheme="minorHAnsi"/>
          <w:sz w:val="24"/>
          <w:szCs w:val="24"/>
        </w:rPr>
      </w:pPr>
    </w:p>
    <w:p w:rsidR="00E624DA" w:rsidRPr="001271B5" w:rsidRDefault="00E624DA" w:rsidP="00E624DA">
      <w:pPr>
        <w:rPr>
          <w:rFonts w:asciiTheme="minorHAnsi" w:hAnsiTheme="minorHAnsi" w:cstheme="minorHAnsi"/>
          <w:sz w:val="24"/>
          <w:szCs w:val="24"/>
        </w:rPr>
      </w:pPr>
    </w:p>
    <w:p w:rsidR="00E624DA" w:rsidRPr="001271B5" w:rsidRDefault="00E624DA" w:rsidP="00E624DA">
      <w:pPr>
        <w:rPr>
          <w:rFonts w:asciiTheme="minorHAnsi" w:hAnsiTheme="minorHAnsi" w:cstheme="minorHAnsi"/>
          <w:sz w:val="24"/>
          <w:szCs w:val="24"/>
        </w:rPr>
      </w:pPr>
    </w:p>
    <w:p w:rsidR="00E624DA" w:rsidRPr="001271B5" w:rsidRDefault="00E624DA" w:rsidP="00E624DA">
      <w:pPr>
        <w:rPr>
          <w:rFonts w:asciiTheme="minorHAnsi" w:hAnsiTheme="minorHAnsi" w:cstheme="minorHAnsi"/>
          <w:sz w:val="24"/>
          <w:szCs w:val="24"/>
        </w:rPr>
      </w:pPr>
    </w:p>
    <w:p w:rsidR="00E624DA" w:rsidRPr="001271B5" w:rsidRDefault="00E624DA" w:rsidP="00E624DA">
      <w:pPr>
        <w:pStyle w:val="Listenabsatz"/>
        <w:widowControl/>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hAnsiTheme="minorHAnsi" w:cstheme="minorHAnsi"/>
          <w:b/>
          <w:sz w:val="24"/>
          <w:szCs w:val="24"/>
        </w:rPr>
        <w:t xml:space="preserve">2) </w:t>
      </w:r>
      <w:r w:rsidRPr="001271B5">
        <w:rPr>
          <w:rFonts w:asciiTheme="minorHAnsi" w:eastAsia="Noto Sans CJK SC" w:hAnsiTheme="minorHAnsi" w:cstheme="minorHAnsi"/>
          <w:b/>
          <w:kern w:val="2"/>
          <w:sz w:val="24"/>
          <w:szCs w:val="24"/>
          <w:lang w:val="de-AT" w:eastAsia="zh-CN" w:bidi="hi-IN"/>
        </w:rPr>
        <w:t xml:space="preserve">Spezielle krankheitsspezifische Informationen für die Verfassung einer </w:t>
      </w:r>
      <w:proofErr w:type="spellStart"/>
      <w:proofErr w:type="gramStart"/>
      <w:r w:rsidRPr="001271B5">
        <w:rPr>
          <w:rFonts w:asciiTheme="minorHAnsi" w:eastAsia="Noto Sans CJK SC" w:hAnsiTheme="minorHAnsi" w:cstheme="minorHAnsi"/>
          <w:b/>
          <w:kern w:val="2"/>
          <w:sz w:val="24"/>
          <w:szCs w:val="24"/>
          <w:lang w:val="de-AT" w:eastAsia="zh-CN" w:bidi="hi-IN"/>
        </w:rPr>
        <w:t>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w:t>
      </w:r>
      <w:proofErr w:type="spellEnd"/>
      <w:proofErr w:type="gramEnd"/>
      <w:r w:rsidRPr="001271B5">
        <w:rPr>
          <w:rFonts w:asciiTheme="minorHAnsi" w:eastAsia="Noto Sans CJK SC" w:hAnsiTheme="minorHAnsi" w:cstheme="minorHAnsi"/>
          <w:b/>
          <w:kern w:val="2"/>
          <w:sz w:val="24"/>
          <w:szCs w:val="24"/>
          <w:lang w:val="de-AT" w:eastAsia="zh-CN" w:bidi="hi-IN"/>
        </w:rPr>
        <w:t xml:space="preserve"> (PV) bei </w:t>
      </w:r>
      <w:proofErr w:type="spellStart"/>
      <w:r w:rsidRPr="001271B5">
        <w:rPr>
          <w:rFonts w:asciiTheme="minorHAnsi" w:eastAsia="Noto Sans CJK SC" w:hAnsiTheme="minorHAnsi" w:cstheme="minorHAnsi"/>
          <w:b/>
          <w:kern w:val="2"/>
          <w:sz w:val="24"/>
          <w:szCs w:val="24"/>
          <w:lang w:val="de-AT" w:eastAsia="zh-CN" w:bidi="hi-IN"/>
        </w:rPr>
        <w:t>Glioblastom</w:t>
      </w:r>
      <w:proofErr w:type="spellEnd"/>
      <w:r w:rsidRPr="001271B5">
        <w:rPr>
          <w:rFonts w:asciiTheme="minorHAnsi" w:eastAsia="Noto Sans CJK SC" w:hAnsiTheme="minorHAnsi" w:cstheme="minorHAnsi"/>
          <w:b/>
          <w:kern w:val="2"/>
          <w:sz w:val="24"/>
          <w:szCs w:val="24"/>
          <w:lang w:val="de-AT" w:eastAsia="zh-CN" w:bidi="hi-IN"/>
        </w:rPr>
        <w:t xml:space="preserve"> und malignen Gliomen:</w:t>
      </w:r>
    </w:p>
    <w:p w:rsidR="00E624DA" w:rsidRPr="001271B5" w:rsidRDefault="00E624DA" w:rsidP="00E624DA">
      <w:pPr>
        <w:pStyle w:val="Listenabsatz"/>
        <w:widowControl/>
        <w:suppressAutoHyphens/>
        <w:autoSpaceDE/>
        <w:autoSpaceDN/>
        <w:rPr>
          <w:rFonts w:asciiTheme="minorHAnsi" w:eastAsia="Noto Sans CJK SC" w:hAnsiTheme="minorHAnsi" w:cstheme="minorHAnsi"/>
          <w:b/>
          <w:kern w:val="2"/>
          <w:sz w:val="24"/>
          <w:szCs w:val="24"/>
          <w:lang w:val="de-AT" w:eastAsia="zh-CN" w:bidi="hi-IN"/>
        </w:rPr>
      </w:pPr>
    </w:p>
    <w:p w:rsidR="00E624DA" w:rsidRPr="001271B5" w:rsidRDefault="00E624DA" w:rsidP="00E624DA">
      <w:pPr>
        <w:pStyle w:val="Listenabsatz"/>
        <w:widowControl/>
        <w:numPr>
          <w:ilvl w:val="0"/>
          <w:numId w:val="1"/>
        </w:numPr>
        <w:autoSpaceDE/>
        <w:autoSpaceDN/>
        <w:ind w:left="1068"/>
        <w:rPr>
          <w:rFonts w:asciiTheme="minorHAnsi" w:hAnsiTheme="minorHAnsi" w:cstheme="minorHAnsi"/>
          <w:sz w:val="24"/>
          <w:szCs w:val="24"/>
        </w:rPr>
      </w:pPr>
      <w:r w:rsidRPr="001271B5">
        <w:rPr>
          <w:rFonts w:asciiTheme="minorHAnsi" w:hAnsiTheme="minorHAnsi" w:cstheme="minorHAnsi"/>
          <w:sz w:val="24"/>
          <w:szCs w:val="24"/>
        </w:rPr>
        <w:t xml:space="preserve">Die sogenannten </w:t>
      </w:r>
      <w:proofErr w:type="spellStart"/>
      <w:r w:rsidRPr="001271B5">
        <w:rPr>
          <w:rFonts w:asciiTheme="minorHAnsi" w:hAnsiTheme="minorHAnsi" w:cstheme="minorHAnsi"/>
          <w:sz w:val="24"/>
          <w:szCs w:val="24"/>
        </w:rPr>
        <w:t>supportiven</w:t>
      </w:r>
      <w:proofErr w:type="spellEnd"/>
      <w:r w:rsidRPr="001271B5">
        <w:rPr>
          <w:rFonts w:asciiTheme="minorHAnsi" w:hAnsiTheme="minorHAnsi" w:cstheme="minorHAnsi"/>
          <w:sz w:val="24"/>
          <w:szCs w:val="24"/>
        </w:rPr>
        <w:t xml:space="preserve"> Maßnahmen, also verschiedene Therapien, die einer Symptomkontrolle dienen (Schmerz</w:t>
      </w:r>
      <w:r>
        <w:rPr>
          <w:rFonts w:asciiTheme="minorHAnsi" w:hAnsiTheme="minorHAnsi" w:cstheme="minorHAnsi"/>
          <w:sz w:val="24"/>
          <w:szCs w:val="24"/>
        </w:rPr>
        <w:t>en</w:t>
      </w:r>
      <w:r w:rsidRPr="001271B5">
        <w:rPr>
          <w:rFonts w:asciiTheme="minorHAnsi" w:hAnsiTheme="minorHAnsi" w:cstheme="minorHAnsi"/>
          <w:sz w:val="24"/>
          <w:szCs w:val="24"/>
        </w:rPr>
        <w:t xml:space="preserve">, </w:t>
      </w:r>
      <w:r>
        <w:rPr>
          <w:rFonts w:asciiTheme="minorHAnsi" w:hAnsiTheme="minorHAnsi" w:cstheme="minorHAnsi"/>
          <w:sz w:val="24"/>
          <w:szCs w:val="24"/>
        </w:rPr>
        <w:t>epileptischer Anfälle</w:t>
      </w:r>
      <w:r w:rsidRPr="001271B5">
        <w:rPr>
          <w:rFonts w:asciiTheme="minorHAnsi" w:hAnsiTheme="minorHAnsi" w:cstheme="minorHAnsi"/>
          <w:sz w:val="24"/>
          <w:szCs w:val="24"/>
        </w:rPr>
        <w:t xml:space="preserve">, Stress, Angst, Thromboseprophylaxe, etc.), sollten in der </w:t>
      </w: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:inn</w:t>
      </w:r>
      <w:r w:rsidRPr="001271B5">
        <w:rPr>
          <w:rFonts w:asciiTheme="minorHAnsi" w:hAnsiTheme="minorHAnsi" w:cstheme="minorHAnsi"/>
          <w:sz w:val="24"/>
          <w:szCs w:val="24"/>
        </w:rPr>
        <w:t>enverfügung</w:t>
      </w:r>
      <w:proofErr w:type="spellEnd"/>
      <w:proofErr w:type="gramEnd"/>
      <w:r w:rsidRPr="001271B5">
        <w:rPr>
          <w:rFonts w:asciiTheme="minorHAnsi" w:hAnsiTheme="minorHAnsi" w:cstheme="minorHAnsi"/>
          <w:sz w:val="24"/>
          <w:szCs w:val="24"/>
        </w:rPr>
        <w:t xml:space="preserve"> jedenfalls besprochen und hinterlegt werden.</w:t>
      </w:r>
    </w:p>
    <w:p w:rsidR="00E624DA" w:rsidRPr="001271B5" w:rsidRDefault="00E624DA" w:rsidP="00E624DA">
      <w:pPr>
        <w:pStyle w:val="Listenabsatz"/>
        <w:ind w:left="1788"/>
        <w:rPr>
          <w:rFonts w:asciiTheme="minorHAnsi" w:hAnsiTheme="minorHAnsi" w:cstheme="minorHAnsi"/>
          <w:sz w:val="24"/>
          <w:szCs w:val="24"/>
        </w:rPr>
      </w:pPr>
    </w:p>
    <w:p w:rsidR="00E624DA" w:rsidRPr="001271B5" w:rsidRDefault="00E624DA" w:rsidP="00E624DA">
      <w:pPr>
        <w:pStyle w:val="Listenabsatz"/>
        <w:widowControl/>
        <w:numPr>
          <w:ilvl w:val="0"/>
          <w:numId w:val="1"/>
        </w:numPr>
        <w:autoSpaceDE/>
        <w:autoSpaceDN/>
        <w:ind w:left="1068"/>
        <w:rPr>
          <w:rFonts w:asciiTheme="minorHAnsi" w:hAnsiTheme="minorHAnsi" w:cstheme="minorHAnsi"/>
          <w:sz w:val="24"/>
          <w:szCs w:val="24"/>
        </w:rPr>
      </w:pPr>
      <w:r w:rsidRPr="001271B5">
        <w:rPr>
          <w:rFonts w:asciiTheme="minorHAnsi" w:hAnsiTheme="minorHAnsi" w:cstheme="minorHAnsi"/>
          <w:sz w:val="24"/>
          <w:szCs w:val="24"/>
        </w:rPr>
        <w:t xml:space="preserve">Zu den Maßnahmen, die abgelehnt werden möchten, aber mit den behandelnden </w:t>
      </w:r>
      <w:proofErr w:type="spellStart"/>
      <w:proofErr w:type="gramStart"/>
      <w:r w:rsidRPr="001271B5">
        <w:rPr>
          <w:rFonts w:asciiTheme="minorHAnsi" w:hAnsiTheme="minorHAnsi" w:cstheme="minorHAnsi"/>
          <w:sz w:val="24"/>
          <w:szCs w:val="24"/>
        </w:rPr>
        <w:t>Ärzt</w:t>
      </w:r>
      <w:r>
        <w:rPr>
          <w:rFonts w:asciiTheme="minorHAnsi" w:hAnsiTheme="minorHAnsi" w:cstheme="minorHAnsi"/>
          <w:sz w:val="24"/>
          <w:szCs w:val="24"/>
        </w:rPr>
        <w:t>:i</w:t>
      </w:r>
      <w:r w:rsidRPr="001271B5">
        <w:rPr>
          <w:rFonts w:asciiTheme="minorHAnsi" w:hAnsiTheme="minorHAnsi" w:cstheme="minorHAnsi"/>
          <w:sz w:val="24"/>
          <w:szCs w:val="24"/>
        </w:rPr>
        <w:t>nnen</w:t>
      </w:r>
      <w:proofErr w:type="spellEnd"/>
      <w:proofErr w:type="gramEnd"/>
      <w:r w:rsidRPr="001271B5">
        <w:rPr>
          <w:rFonts w:asciiTheme="minorHAnsi" w:hAnsiTheme="minorHAnsi" w:cstheme="minorHAnsi"/>
          <w:sz w:val="24"/>
          <w:szCs w:val="24"/>
        </w:rPr>
        <w:t xml:space="preserve"> besprochen werden sollten, zählen in der Regel das Legen einer Magen</w:t>
      </w:r>
      <w:r>
        <w:rPr>
          <w:rFonts w:asciiTheme="minorHAnsi" w:hAnsiTheme="minorHAnsi" w:cstheme="minorHAnsi"/>
          <w:sz w:val="24"/>
          <w:szCs w:val="24"/>
        </w:rPr>
        <w:t>s</w:t>
      </w:r>
      <w:r w:rsidRPr="001271B5">
        <w:rPr>
          <w:rFonts w:asciiTheme="minorHAnsi" w:hAnsiTheme="minorHAnsi" w:cstheme="minorHAnsi"/>
          <w:sz w:val="24"/>
          <w:szCs w:val="24"/>
        </w:rPr>
        <w:t>onde (</w:t>
      </w:r>
      <w:r>
        <w:rPr>
          <w:rFonts w:asciiTheme="minorHAnsi" w:hAnsiTheme="minorHAnsi" w:cstheme="minorHAnsi"/>
          <w:sz w:val="24"/>
          <w:szCs w:val="24"/>
        </w:rPr>
        <w:t xml:space="preserve">PEG </w:t>
      </w:r>
      <w:r w:rsidRPr="001271B5">
        <w:rPr>
          <w:rFonts w:asciiTheme="minorHAnsi" w:hAnsiTheme="minorHAnsi" w:cstheme="minorHAnsi"/>
          <w:sz w:val="24"/>
          <w:szCs w:val="24"/>
        </w:rPr>
        <w:t>=</w:t>
      </w:r>
      <w:r>
        <w:rPr>
          <w:rFonts w:asciiTheme="minorHAnsi" w:hAnsiTheme="minorHAnsi" w:cstheme="minorHAnsi"/>
          <w:sz w:val="24"/>
          <w:szCs w:val="24"/>
        </w:rPr>
        <w:t xml:space="preserve"> </w:t>
      </w:r>
      <w:r w:rsidRPr="001271B5">
        <w:rPr>
          <w:rFonts w:asciiTheme="minorHAnsi" w:hAnsiTheme="minorHAnsi" w:cstheme="minorHAnsi"/>
          <w:sz w:val="24"/>
          <w:szCs w:val="24"/>
        </w:rPr>
        <w:t xml:space="preserve">perkutane endoskopische Gastrostomie oder künstlicher Magenzugang) oder einer </w:t>
      </w:r>
      <w:proofErr w:type="spellStart"/>
      <w:r w:rsidRPr="001271B5">
        <w:rPr>
          <w:rFonts w:asciiTheme="minorHAnsi" w:hAnsiTheme="minorHAnsi" w:cstheme="minorHAnsi"/>
          <w:sz w:val="24"/>
          <w:szCs w:val="24"/>
        </w:rPr>
        <w:t>nasogastralen</w:t>
      </w:r>
      <w:proofErr w:type="spellEnd"/>
      <w:r w:rsidRPr="001271B5">
        <w:rPr>
          <w:rFonts w:asciiTheme="minorHAnsi" w:hAnsiTheme="minorHAnsi" w:cstheme="minorHAnsi"/>
          <w:sz w:val="24"/>
          <w:szCs w:val="24"/>
        </w:rPr>
        <w:t xml:space="preserve"> Sonde. In besonderen Situationen, wie z. B. einem Status </w:t>
      </w:r>
      <w:proofErr w:type="spellStart"/>
      <w:r w:rsidRPr="001271B5">
        <w:rPr>
          <w:rFonts w:asciiTheme="minorHAnsi" w:hAnsiTheme="minorHAnsi" w:cstheme="minorHAnsi"/>
          <w:sz w:val="24"/>
          <w:szCs w:val="24"/>
        </w:rPr>
        <w:t>Epilepticus</w:t>
      </w:r>
      <w:proofErr w:type="spellEnd"/>
      <w:r w:rsidRPr="001271B5">
        <w:rPr>
          <w:rFonts w:asciiTheme="minorHAnsi" w:hAnsiTheme="minorHAnsi" w:cstheme="minorHAnsi"/>
          <w:sz w:val="24"/>
          <w:szCs w:val="24"/>
        </w:rPr>
        <w:t xml:space="preserve"> oder wiederkehrenden epileptischen Anfällen hat eine </w:t>
      </w:r>
      <w:proofErr w:type="spellStart"/>
      <w:r w:rsidRPr="001271B5">
        <w:rPr>
          <w:rFonts w:asciiTheme="minorHAnsi" w:hAnsiTheme="minorHAnsi" w:cstheme="minorHAnsi"/>
          <w:sz w:val="24"/>
          <w:szCs w:val="24"/>
        </w:rPr>
        <w:t>Nasogastralsonde</w:t>
      </w:r>
      <w:proofErr w:type="spellEnd"/>
      <w:r w:rsidRPr="001271B5">
        <w:rPr>
          <w:rFonts w:asciiTheme="minorHAnsi" w:hAnsiTheme="minorHAnsi" w:cstheme="minorHAnsi"/>
          <w:sz w:val="24"/>
          <w:szCs w:val="24"/>
        </w:rPr>
        <w:t xml:space="preserve"> für kurze Zeit durchaus ihre Berechtigung.</w:t>
      </w:r>
    </w:p>
    <w:p w:rsidR="00E624DA" w:rsidRPr="001271B5" w:rsidRDefault="00E624DA" w:rsidP="00E624DA">
      <w:pPr>
        <w:pStyle w:val="Listenabsatz"/>
        <w:ind w:left="1788"/>
        <w:rPr>
          <w:rFonts w:asciiTheme="minorHAnsi" w:hAnsiTheme="minorHAnsi" w:cstheme="minorHAnsi"/>
          <w:sz w:val="24"/>
          <w:szCs w:val="24"/>
        </w:rPr>
      </w:pPr>
    </w:p>
    <w:p w:rsidR="00E624DA" w:rsidRPr="001271B5" w:rsidRDefault="00E624DA" w:rsidP="00E624DA">
      <w:pPr>
        <w:pStyle w:val="Listenabsatz"/>
        <w:widowControl/>
        <w:numPr>
          <w:ilvl w:val="0"/>
          <w:numId w:val="1"/>
        </w:numPr>
        <w:autoSpaceDE/>
        <w:autoSpaceDN/>
        <w:ind w:left="1068"/>
        <w:rPr>
          <w:rFonts w:asciiTheme="minorHAnsi" w:hAnsiTheme="minorHAnsi" w:cstheme="minorHAnsi"/>
          <w:sz w:val="24"/>
          <w:szCs w:val="24"/>
        </w:rPr>
      </w:pPr>
      <w:r w:rsidRPr="001271B5">
        <w:rPr>
          <w:rFonts w:asciiTheme="minorHAnsi" w:hAnsiTheme="minorHAnsi" w:cstheme="minorHAnsi"/>
          <w:sz w:val="24"/>
          <w:szCs w:val="24"/>
        </w:rPr>
        <w:t xml:space="preserve">Eine Intubation, Beatmung mit Behandlung auf einer Intensivstation, sowie wiederbelebende Maßnahmen, Dialysebehandlungen bei Nierenversagen, sollten ebenfalls in der </w:t>
      </w: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:inn</w:t>
      </w:r>
      <w:r w:rsidRPr="001271B5">
        <w:rPr>
          <w:rFonts w:asciiTheme="minorHAnsi" w:hAnsiTheme="minorHAnsi" w:cstheme="minorHAnsi"/>
          <w:sz w:val="24"/>
          <w:szCs w:val="24"/>
        </w:rPr>
        <w:t>enverfügung</w:t>
      </w:r>
      <w:proofErr w:type="spellEnd"/>
      <w:proofErr w:type="gramEnd"/>
      <w:r w:rsidRPr="001271B5">
        <w:rPr>
          <w:rFonts w:asciiTheme="minorHAnsi" w:hAnsiTheme="minorHAnsi" w:cstheme="minorHAnsi"/>
          <w:sz w:val="24"/>
          <w:szCs w:val="24"/>
        </w:rPr>
        <w:t xml:space="preserve"> dokumentiert werden. </w:t>
      </w:r>
    </w:p>
    <w:p w:rsidR="00E624DA" w:rsidRPr="001271B5" w:rsidRDefault="00E624DA" w:rsidP="00E624DA">
      <w:pPr>
        <w:pStyle w:val="Listenabsatz"/>
        <w:ind w:left="1788"/>
        <w:rPr>
          <w:rFonts w:asciiTheme="minorHAnsi" w:hAnsiTheme="minorHAnsi" w:cstheme="minorHAnsi"/>
          <w:sz w:val="24"/>
          <w:szCs w:val="24"/>
        </w:rPr>
      </w:pPr>
    </w:p>
    <w:p w:rsidR="00E624DA" w:rsidRPr="00E624DA" w:rsidRDefault="00E624DA" w:rsidP="00DD3531">
      <w:pPr>
        <w:pStyle w:val="Listenabsatz"/>
        <w:widowControl/>
        <w:numPr>
          <w:ilvl w:val="0"/>
          <w:numId w:val="1"/>
        </w:numPr>
        <w:autoSpaceDE/>
        <w:autoSpaceDN/>
        <w:spacing w:after="160" w:line="259" w:lineRule="auto"/>
        <w:ind w:left="1068"/>
        <w:rPr>
          <w:rFonts w:asciiTheme="minorHAnsi" w:hAnsiTheme="minorHAnsi" w:cstheme="minorHAnsi"/>
        </w:rPr>
      </w:pPr>
      <w:r w:rsidRPr="00E624DA">
        <w:rPr>
          <w:rFonts w:asciiTheme="minorHAnsi" w:hAnsiTheme="minorHAnsi" w:cstheme="minorHAnsi"/>
          <w:sz w:val="24"/>
          <w:szCs w:val="24"/>
        </w:rPr>
        <w:t xml:space="preserve">In der letzten Phase dieser Erkrankung wird in der Regel bei Auftreten dieser Fragen bzw. Entscheidungsfindungen mit dem Palliativteam und den behandelnden </w:t>
      </w:r>
      <w:proofErr w:type="spellStart"/>
      <w:proofErr w:type="gramStart"/>
      <w:r w:rsidRPr="00E624DA">
        <w:rPr>
          <w:rFonts w:asciiTheme="minorHAnsi" w:hAnsiTheme="minorHAnsi" w:cstheme="minorHAnsi"/>
          <w:sz w:val="24"/>
          <w:szCs w:val="24"/>
        </w:rPr>
        <w:t>Ärzt:innen</w:t>
      </w:r>
      <w:proofErr w:type="spellEnd"/>
      <w:proofErr w:type="gramEnd"/>
      <w:r w:rsidRPr="00E624DA">
        <w:rPr>
          <w:rFonts w:asciiTheme="minorHAnsi" w:hAnsiTheme="minorHAnsi" w:cstheme="minorHAnsi"/>
          <w:sz w:val="24"/>
          <w:szCs w:val="24"/>
        </w:rPr>
        <w:t xml:space="preserve"> gemeinsam mit den Angehörigen ein </w:t>
      </w:r>
      <w:proofErr w:type="spellStart"/>
      <w:r w:rsidRPr="00E624DA">
        <w:rPr>
          <w:rFonts w:asciiTheme="minorHAnsi" w:hAnsiTheme="minorHAnsi" w:cstheme="minorHAnsi"/>
          <w:sz w:val="24"/>
          <w:szCs w:val="24"/>
        </w:rPr>
        <w:t>konsensuelles</w:t>
      </w:r>
      <w:proofErr w:type="spellEnd"/>
      <w:r w:rsidRPr="00E624DA">
        <w:rPr>
          <w:rFonts w:asciiTheme="minorHAnsi" w:hAnsiTheme="minorHAnsi" w:cstheme="minorHAnsi"/>
          <w:sz w:val="24"/>
          <w:szCs w:val="24"/>
        </w:rPr>
        <w:t xml:space="preserve"> Vorgehen angestrebt. Dennoch ist es für die </w:t>
      </w:r>
      <w:proofErr w:type="spellStart"/>
      <w:proofErr w:type="gramStart"/>
      <w:r w:rsidRPr="00E624DA">
        <w:rPr>
          <w:rFonts w:asciiTheme="minorHAnsi" w:hAnsiTheme="minorHAnsi" w:cstheme="minorHAnsi"/>
          <w:sz w:val="24"/>
          <w:szCs w:val="24"/>
        </w:rPr>
        <w:t>Patient:innen</w:t>
      </w:r>
      <w:proofErr w:type="spellEnd"/>
      <w:proofErr w:type="gramEnd"/>
      <w:r w:rsidRPr="00E624DA">
        <w:rPr>
          <w:rFonts w:asciiTheme="minorHAnsi" w:hAnsiTheme="minorHAnsi" w:cstheme="minorHAnsi"/>
          <w:sz w:val="24"/>
          <w:szCs w:val="24"/>
        </w:rPr>
        <w:t xml:space="preserve"> wichtig, diese Schritte im Laufe ihrer Erkrankung zu besprechen bzw. in einer </w:t>
      </w:r>
      <w:proofErr w:type="spellStart"/>
      <w:r w:rsidRPr="00E624DA">
        <w:rPr>
          <w:rFonts w:asciiTheme="minorHAnsi" w:hAnsiTheme="minorHAnsi" w:cstheme="minorHAnsi"/>
          <w:sz w:val="24"/>
          <w:szCs w:val="24"/>
        </w:rPr>
        <w:t>Patient:innenverfügung</w:t>
      </w:r>
      <w:proofErr w:type="spellEnd"/>
      <w:r w:rsidRPr="00E624DA">
        <w:rPr>
          <w:rFonts w:asciiTheme="minorHAnsi" w:hAnsiTheme="minorHAnsi" w:cstheme="minorHAnsi"/>
          <w:sz w:val="24"/>
          <w:szCs w:val="24"/>
        </w:rPr>
        <w:t xml:space="preserve"> dokumentiert zu haben, oder auch eine Vorsorgevollmacht zu etablieren.</w:t>
      </w:r>
      <w:bookmarkStart w:id="0" w:name="_GoBack"/>
      <w:bookmarkEnd w:id="0"/>
    </w:p>
    <w:p w:rsidR="00EA374D" w:rsidRDefault="00EA374D"/>
    <w:sectPr w:rsidR="00EA374D" w:rsidSect="00FF2248">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Noto Sans CJK SC">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51A"/>
    <w:multiLevelType w:val="hybridMultilevel"/>
    <w:tmpl w:val="BAC24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1C6FD0"/>
    <w:multiLevelType w:val="hybridMultilevel"/>
    <w:tmpl w:val="0B44A12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A0E1ABC"/>
    <w:multiLevelType w:val="hybridMultilevel"/>
    <w:tmpl w:val="070CAD9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76810BC2"/>
    <w:multiLevelType w:val="hybridMultilevel"/>
    <w:tmpl w:val="AADC2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DA"/>
    <w:rsid w:val="00E624DA"/>
    <w:rsid w:val="00EA374D"/>
    <w:rsid w:val="00FF22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11CE1-3C1A-4123-BBD4-E3E1B240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E624DA"/>
    <w:pPr>
      <w:widowControl w:val="0"/>
      <w:autoSpaceDE w:val="0"/>
      <w:autoSpaceDN w:val="0"/>
      <w:spacing w:after="0" w:line="240" w:lineRule="auto"/>
    </w:pPr>
    <w:rPr>
      <w:rFonts w:ascii="Arial MT" w:eastAsia="Arial MT" w:hAnsi="Arial MT" w:cs="Arial M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E62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4451</Characters>
  <Application>Microsoft Office Word</Application>
  <DocSecurity>0</DocSecurity>
  <Lines>37</Lines>
  <Paragraphs>10</Paragraphs>
  <ScaleCrop>false</ScaleCrop>
  <Company>Universitätsklinikum St. Pölten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Oberndorfer Stefan, UK St. Pölten</dc:creator>
  <cp:keywords/>
  <dc:description/>
  <cp:lastModifiedBy>Oberndorfer Stefan, UK St. Pölten</cp:lastModifiedBy>
  <cp:revision>1</cp:revision>
  <dcterms:created xsi:type="dcterms:W3CDTF">2024-03-25T11:51:00Z</dcterms:created>
  <dcterms:modified xsi:type="dcterms:W3CDTF">2024-03-25T11:52:00Z</dcterms:modified>
</cp:coreProperties>
</file>